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7382F" w14:textId="6188FE8C" w:rsidR="00A031E2" w:rsidRPr="00C012CD" w:rsidRDefault="00A031E2" w:rsidP="00C012CD">
      <w:pPr>
        <w:pStyle w:val="Ttulo1"/>
        <w:rPr>
          <w:bCs/>
          <w:szCs w:val="28"/>
          <w:lang w:val="es-ES_tradnl" w:eastAsia="es-ES"/>
        </w:rPr>
      </w:pPr>
      <w:r w:rsidRPr="001D44BF">
        <w:rPr>
          <w:bCs/>
          <w:color w:val="1F4E79" w:themeColor="accent1" w:themeShade="80"/>
          <w:szCs w:val="28"/>
          <w:lang w:val="es-ES_tradnl" w:eastAsia="es-ES"/>
        </w:rPr>
        <w:t>C</w:t>
      </w:r>
      <w:r w:rsidR="00C012CD" w:rsidRPr="001D44BF">
        <w:rPr>
          <w:bCs/>
          <w:color w:val="1F4E79" w:themeColor="accent1" w:themeShade="80"/>
          <w:szCs w:val="28"/>
          <w:lang w:val="es-ES_tradnl" w:eastAsia="es-ES"/>
        </w:rPr>
        <w:t>atálogo de servicios de TIC</w:t>
      </w:r>
    </w:p>
    <w:p w14:paraId="647348FA" w14:textId="77777777" w:rsidR="00291680" w:rsidRDefault="00291680"/>
    <w:tbl>
      <w:tblPr>
        <w:tblW w:w="140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906"/>
        <w:gridCol w:w="1163"/>
        <w:gridCol w:w="1555"/>
        <w:gridCol w:w="1721"/>
        <w:gridCol w:w="1875"/>
        <w:gridCol w:w="1153"/>
        <w:gridCol w:w="1138"/>
        <w:gridCol w:w="1262"/>
        <w:gridCol w:w="1635"/>
      </w:tblGrid>
      <w:tr w:rsidR="00E433FC" w:rsidRPr="008B569E" w14:paraId="678F2F43" w14:textId="382486BC" w:rsidTr="00997231">
        <w:trPr>
          <w:tblHeader/>
        </w:trPr>
        <w:tc>
          <w:tcPr>
            <w:tcW w:w="616" w:type="dxa"/>
            <w:shd w:val="clear" w:color="auto" w:fill="2E74B5" w:themeFill="accent1" w:themeFillShade="BF"/>
          </w:tcPr>
          <w:p w14:paraId="33C3548B" w14:textId="56DB1DEB" w:rsidR="00E433FC" w:rsidRPr="008B569E" w:rsidRDefault="00E433FC" w:rsidP="001146C1">
            <w:pPr>
              <w:tabs>
                <w:tab w:val="center" w:pos="4320"/>
                <w:tab w:val="right" w:pos="8640"/>
              </w:tabs>
              <w:jc w:val="center"/>
              <w:rPr>
                <w:rFonts w:eastAsia="Times" w:cs="Arial"/>
                <w:b/>
                <w:bCs/>
                <w:smallCaps/>
                <w:szCs w:val="20"/>
              </w:rPr>
            </w:pPr>
            <w:r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  <w:t>Id-Serv</w:t>
            </w:r>
          </w:p>
        </w:tc>
        <w:tc>
          <w:tcPr>
            <w:tcW w:w="1906" w:type="dxa"/>
            <w:shd w:val="clear" w:color="auto" w:fill="2E74B5" w:themeFill="accent1" w:themeFillShade="BF"/>
          </w:tcPr>
          <w:p w14:paraId="69158BD5" w14:textId="2F17A108" w:rsidR="00E433FC" w:rsidRPr="008D57D5" w:rsidRDefault="00E433FC" w:rsidP="001146C1">
            <w:pPr>
              <w:tabs>
                <w:tab w:val="center" w:pos="4320"/>
                <w:tab w:val="right" w:pos="8640"/>
              </w:tabs>
              <w:jc w:val="center"/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</w:pPr>
            <w:r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  <w:t>Nombre del Servicio</w:t>
            </w:r>
          </w:p>
        </w:tc>
        <w:tc>
          <w:tcPr>
            <w:tcW w:w="1163" w:type="dxa"/>
            <w:shd w:val="clear" w:color="auto" w:fill="2E74B5" w:themeFill="accent1" w:themeFillShade="BF"/>
          </w:tcPr>
          <w:p w14:paraId="412AE2B5" w14:textId="38896F85" w:rsidR="00E433FC" w:rsidRPr="008D57D5" w:rsidRDefault="00E433FC" w:rsidP="001146C1">
            <w:pPr>
              <w:tabs>
                <w:tab w:val="center" w:pos="4320"/>
                <w:tab w:val="right" w:pos="8640"/>
              </w:tabs>
              <w:jc w:val="center"/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</w:pPr>
            <w:r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  <w:t>Objetivo del Servicio</w:t>
            </w:r>
          </w:p>
        </w:tc>
        <w:tc>
          <w:tcPr>
            <w:tcW w:w="1555" w:type="dxa"/>
            <w:shd w:val="clear" w:color="auto" w:fill="2E74B5" w:themeFill="accent1" w:themeFillShade="BF"/>
          </w:tcPr>
          <w:p w14:paraId="7825D773" w14:textId="0B882353" w:rsidR="00E433FC" w:rsidRPr="008D57D5" w:rsidRDefault="00E433FC" w:rsidP="001146C1">
            <w:pPr>
              <w:tabs>
                <w:tab w:val="center" w:pos="4320"/>
                <w:tab w:val="right" w:pos="8640"/>
              </w:tabs>
              <w:jc w:val="center"/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</w:pPr>
            <w:r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  <w:t>Propietario del servicio (Responsable)</w:t>
            </w:r>
          </w:p>
        </w:tc>
        <w:tc>
          <w:tcPr>
            <w:tcW w:w="1721" w:type="dxa"/>
            <w:shd w:val="clear" w:color="auto" w:fill="2E74B5" w:themeFill="accent1" w:themeFillShade="BF"/>
          </w:tcPr>
          <w:p w14:paraId="165E81A6" w14:textId="5E917D5C" w:rsidR="00E433FC" w:rsidRPr="008D57D5" w:rsidRDefault="00E433FC" w:rsidP="001146C1">
            <w:pPr>
              <w:tabs>
                <w:tab w:val="center" w:pos="4320"/>
                <w:tab w:val="right" w:pos="8640"/>
              </w:tabs>
              <w:jc w:val="center"/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</w:pPr>
            <w:r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  <w:t>A quién(es) va dirigido/Usuarios</w:t>
            </w:r>
          </w:p>
        </w:tc>
        <w:tc>
          <w:tcPr>
            <w:tcW w:w="1875" w:type="dxa"/>
            <w:shd w:val="clear" w:color="auto" w:fill="2E74B5" w:themeFill="accent1" w:themeFillShade="BF"/>
          </w:tcPr>
          <w:p w14:paraId="2E06B096" w14:textId="0E83297D" w:rsidR="00E433FC" w:rsidRPr="008D57D5" w:rsidRDefault="00E433FC" w:rsidP="001146C1">
            <w:pPr>
              <w:tabs>
                <w:tab w:val="center" w:pos="4320"/>
                <w:tab w:val="right" w:pos="8640"/>
              </w:tabs>
              <w:jc w:val="center"/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</w:pPr>
            <w:r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  <w:t>Tipo de servicio [Interno/Externo]</w:t>
            </w:r>
          </w:p>
        </w:tc>
        <w:tc>
          <w:tcPr>
            <w:tcW w:w="1153" w:type="dxa"/>
            <w:shd w:val="clear" w:color="auto" w:fill="2E74B5" w:themeFill="accent1" w:themeFillShade="BF"/>
          </w:tcPr>
          <w:p w14:paraId="42BC6F59" w14:textId="2DE14943" w:rsidR="00E433FC" w:rsidRPr="008D57D5" w:rsidRDefault="00E433FC" w:rsidP="001146C1">
            <w:pPr>
              <w:tabs>
                <w:tab w:val="center" w:pos="4320"/>
                <w:tab w:val="right" w:pos="8640"/>
              </w:tabs>
              <w:jc w:val="center"/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</w:pPr>
            <w:r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  <w:t>Horario del Servicio</w:t>
            </w:r>
          </w:p>
        </w:tc>
        <w:tc>
          <w:tcPr>
            <w:tcW w:w="1138" w:type="dxa"/>
            <w:shd w:val="clear" w:color="auto" w:fill="2E74B5" w:themeFill="accent1" w:themeFillShade="BF"/>
          </w:tcPr>
          <w:p w14:paraId="07AE4A4F" w14:textId="0865CD9B" w:rsidR="00E433FC" w:rsidRPr="008D57D5" w:rsidRDefault="00E433FC" w:rsidP="001146C1">
            <w:pPr>
              <w:tabs>
                <w:tab w:val="center" w:pos="4320"/>
                <w:tab w:val="right" w:pos="8640"/>
              </w:tabs>
              <w:jc w:val="center"/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</w:pPr>
            <w:r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  <w:t>Período crítico</w:t>
            </w:r>
          </w:p>
        </w:tc>
        <w:tc>
          <w:tcPr>
            <w:tcW w:w="1262" w:type="dxa"/>
            <w:shd w:val="clear" w:color="auto" w:fill="2E74B5" w:themeFill="accent1" w:themeFillShade="BF"/>
          </w:tcPr>
          <w:p w14:paraId="0FC210A2" w14:textId="68FF0718" w:rsidR="00E433FC" w:rsidRPr="008D57D5" w:rsidRDefault="00E433FC" w:rsidP="00E433FC">
            <w:pPr>
              <w:tabs>
                <w:tab w:val="center" w:pos="4320"/>
                <w:tab w:val="right" w:pos="8640"/>
              </w:tabs>
              <w:jc w:val="center"/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</w:pPr>
            <w:r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  <w:t>Impacto para la E/D [Mínimo</w:t>
            </w:r>
            <w:r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  <w:br/>
              <w:t>Moderado</w:t>
            </w:r>
            <w:r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  <w:br/>
              <w:t>Alto</w:t>
            </w:r>
            <w:r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  <w:br/>
              <w:t>Crítico]</w:t>
            </w:r>
          </w:p>
        </w:tc>
        <w:tc>
          <w:tcPr>
            <w:tcW w:w="1635" w:type="dxa"/>
            <w:shd w:val="clear" w:color="auto" w:fill="2E74B5" w:themeFill="accent1" w:themeFillShade="BF"/>
          </w:tcPr>
          <w:p w14:paraId="6C51BACD" w14:textId="35D23C01" w:rsidR="00E433FC" w:rsidRPr="008D57D5" w:rsidRDefault="00E433FC" w:rsidP="00E433FC">
            <w:pPr>
              <w:tabs>
                <w:tab w:val="center" w:pos="4320"/>
                <w:tab w:val="right" w:pos="8640"/>
              </w:tabs>
              <w:jc w:val="center"/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</w:pPr>
            <w:r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  <w:t xml:space="preserve">Documentación técnica disponible </w:t>
            </w:r>
            <w:r>
              <w:rPr>
                <w:rFonts w:eastAsia="Times" w:cs="Arial"/>
                <w:b/>
                <w:bCs/>
                <w:smallCaps/>
                <w:color w:val="FFFFFF" w:themeColor="background1"/>
                <w:szCs w:val="20"/>
              </w:rPr>
              <w:br/>
              <w:t>(Ej. Anexo1, Anexo A)</w:t>
            </w:r>
          </w:p>
        </w:tc>
      </w:tr>
      <w:tr w:rsidR="00E433FC" w:rsidRPr="008B569E" w14:paraId="704F9AE1" w14:textId="167848E1" w:rsidTr="00997231">
        <w:trPr>
          <w:tblHeader/>
        </w:trPr>
        <w:tc>
          <w:tcPr>
            <w:tcW w:w="616" w:type="dxa"/>
            <w:vAlign w:val="center"/>
          </w:tcPr>
          <w:p w14:paraId="7B150437" w14:textId="1FEC386E" w:rsidR="00E433FC" w:rsidRPr="008B569E" w:rsidRDefault="00E433FC" w:rsidP="001146C1">
            <w:pPr>
              <w:tabs>
                <w:tab w:val="center" w:pos="4320"/>
                <w:tab w:val="right" w:pos="8640"/>
              </w:tabs>
              <w:jc w:val="center"/>
              <w:rPr>
                <w:rFonts w:eastAsia="Times" w:cs="Arial"/>
                <w:szCs w:val="20"/>
              </w:rPr>
            </w:pPr>
          </w:p>
        </w:tc>
        <w:tc>
          <w:tcPr>
            <w:tcW w:w="1906" w:type="dxa"/>
          </w:tcPr>
          <w:p w14:paraId="3FCC36BF" w14:textId="77777777" w:rsidR="00E433FC" w:rsidRPr="008B569E" w:rsidRDefault="00E433FC" w:rsidP="001146C1">
            <w:pPr>
              <w:tabs>
                <w:tab w:val="center" w:pos="4320"/>
                <w:tab w:val="right" w:pos="8640"/>
              </w:tabs>
              <w:jc w:val="center"/>
              <w:rPr>
                <w:rFonts w:eastAsia="Times" w:cs="Arial"/>
                <w:szCs w:val="20"/>
              </w:rPr>
            </w:pPr>
          </w:p>
        </w:tc>
        <w:tc>
          <w:tcPr>
            <w:tcW w:w="1163" w:type="dxa"/>
          </w:tcPr>
          <w:p w14:paraId="58586912" w14:textId="77777777" w:rsidR="00E433FC" w:rsidRPr="008B569E" w:rsidRDefault="00E433FC" w:rsidP="001146C1">
            <w:pPr>
              <w:tabs>
                <w:tab w:val="center" w:pos="4320"/>
                <w:tab w:val="right" w:pos="8640"/>
              </w:tabs>
              <w:jc w:val="center"/>
              <w:rPr>
                <w:rFonts w:eastAsia="Times" w:cs="Arial"/>
                <w:szCs w:val="20"/>
              </w:rPr>
            </w:pPr>
          </w:p>
        </w:tc>
        <w:tc>
          <w:tcPr>
            <w:tcW w:w="1555" w:type="dxa"/>
          </w:tcPr>
          <w:p w14:paraId="1EC2BF8E" w14:textId="77777777" w:rsidR="00E433FC" w:rsidRPr="008B569E" w:rsidRDefault="00E433FC" w:rsidP="001146C1">
            <w:pPr>
              <w:tabs>
                <w:tab w:val="center" w:pos="4320"/>
                <w:tab w:val="right" w:pos="8640"/>
              </w:tabs>
              <w:jc w:val="center"/>
              <w:rPr>
                <w:rFonts w:eastAsia="Times" w:cs="Arial"/>
                <w:szCs w:val="20"/>
              </w:rPr>
            </w:pPr>
          </w:p>
        </w:tc>
        <w:tc>
          <w:tcPr>
            <w:tcW w:w="1721" w:type="dxa"/>
          </w:tcPr>
          <w:p w14:paraId="2027996D" w14:textId="77777777" w:rsidR="00E433FC" w:rsidRPr="008B569E" w:rsidRDefault="00E433FC" w:rsidP="001146C1">
            <w:pPr>
              <w:tabs>
                <w:tab w:val="center" w:pos="4320"/>
                <w:tab w:val="right" w:pos="8640"/>
              </w:tabs>
              <w:jc w:val="center"/>
              <w:rPr>
                <w:rFonts w:eastAsia="Times" w:cs="Arial"/>
                <w:szCs w:val="20"/>
              </w:rPr>
            </w:pPr>
          </w:p>
        </w:tc>
        <w:tc>
          <w:tcPr>
            <w:tcW w:w="1875" w:type="dxa"/>
          </w:tcPr>
          <w:p w14:paraId="14477437" w14:textId="77777777" w:rsidR="00E433FC" w:rsidRPr="008B569E" w:rsidRDefault="00E433FC" w:rsidP="001146C1">
            <w:pPr>
              <w:tabs>
                <w:tab w:val="center" w:pos="4320"/>
                <w:tab w:val="right" w:pos="8640"/>
              </w:tabs>
              <w:jc w:val="center"/>
              <w:rPr>
                <w:rFonts w:eastAsia="Times" w:cs="Arial"/>
                <w:szCs w:val="20"/>
              </w:rPr>
            </w:pPr>
          </w:p>
        </w:tc>
        <w:tc>
          <w:tcPr>
            <w:tcW w:w="1153" w:type="dxa"/>
          </w:tcPr>
          <w:p w14:paraId="2CB0F43E" w14:textId="77777777" w:rsidR="00E433FC" w:rsidRPr="008B569E" w:rsidRDefault="00E433FC" w:rsidP="001146C1">
            <w:pPr>
              <w:tabs>
                <w:tab w:val="center" w:pos="4320"/>
                <w:tab w:val="right" w:pos="8640"/>
              </w:tabs>
              <w:jc w:val="center"/>
              <w:rPr>
                <w:rFonts w:eastAsia="Times" w:cs="Arial"/>
                <w:szCs w:val="20"/>
              </w:rPr>
            </w:pPr>
          </w:p>
        </w:tc>
        <w:tc>
          <w:tcPr>
            <w:tcW w:w="1138" w:type="dxa"/>
          </w:tcPr>
          <w:p w14:paraId="04D0CB0C" w14:textId="77777777" w:rsidR="00E433FC" w:rsidRPr="008B569E" w:rsidRDefault="00E433FC" w:rsidP="001146C1">
            <w:pPr>
              <w:tabs>
                <w:tab w:val="center" w:pos="4320"/>
                <w:tab w:val="right" w:pos="8640"/>
              </w:tabs>
              <w:jc w:val="center"/>
              <w:rPr>
                <w:rFonts w:eastAsia="Times" w:cs="Arial"/>
                <w:szCs w:val="20"/>
              </w:rPr>
            </w:pPr>
          </w:p>
        </w:tc>
        <w:tc>
          <w:tcPr>
            <w:tcW w:w="1262" w:type="dxa"/>
          </w:tcPr>
          <w:p w14:paraId="0CACE958" w14:textId="77777777" w:rsidR="00E433FC" w:rsidRPr="008B569E" w:rsidRDefault="00E433FC" w:rsidP="001146C1">
            <w:pPr>
              <w:tabs>
                <w:tab w:val="center" w:pos="4320"/>
                <w:tab w:val="right" w:pos="8640"/>
              </w:tabs>
              <w:jc w:val="center"/>
              <w:rPr>
                <w:rFonts w:eastAsia="Times" w:cs="Arial"/>
                <w:szCs w:val="20"/>
              </w:rPr>
            </w:pPr>
          </w:p>
        </w:tc>
        <w:tc>
          <w:tcPr>
            <w:tcW w:w="1635" w:type="dxa"/>
          </w:tcPr>
          <w:p w14:paraId="1F90A3B3" w14:textId="77777777" w:rsidR="00E433FC" w:rsidRPr="008B569E" w:rsidRDefault="00E433FC" w:rsidP="001146C1">
            <w:pPr>
              <w:tabs>
                <w:tab w:val="center" w:pos="4320"/>
                <w:tab w:val="right" w:pos="8640"/>
              </w:tabs>
              <w:jc w:val="center"/>
              <w:rPr>
                <w:rFonts w:eastAsia="Times" w:cs="Arial"/>
                <w:szCs w:val="20"/>
              </w:rPr>
            </w:pPr>
          </w:p>
        </w:tc>
      </w:tr>
      <w:tr w:rsidR="00E433FC" w:rsidRPr="008B569E" w14:paraId="3F7A82DB" w14:textId="0AE4DA34" w:rsidTr="00997231">
        <w:trPr>
          <w:tblHeader/>
        </w:trPr>
        <w:tc>
          <w:tcPr>
            <w:tcW w:w="616" w:type="dxa"/>
            <w:vAlign w:val="center"/>
          </w:tcPr>
          <w:p w14:paraId="38F58EF8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906" w:type="dxa"/>
          </w:tcPr>
          <w:p w14:paraId="4639DEC7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163" w:type="dxa"/>
          </w:tcPr>
          <w:p w14:paraId="3C021F2C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555" w:type="dxa"/>
          </w:tcPr>
          <w:p w14:paraId="74405331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721" w:type="dxa"/>
          </w:tcPr>
          <w:p w14:paraId="6759E0EC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875" w:type="dxa"/>
          </w:tcPr>
          <w:p w14:paraId="479CAB66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153" w:type="dxa"/>
          </w:tcPr>
          <w:p w14:paraId="00B43EEE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138" w:type="dxa"/>
          </w:tcPr>
          <w:p w14:paraId="76C6642E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262" w:type="dxa"/>
          </w:tcPr>
          <w:p w14:paraId="3C4A62BE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635" w:type="dxa"/>
          </w:tcPr>
          <w:p w14:paraId="0893BE02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</w:tr>
      <w:tr w:rsidR="00E433FC" w:rsidRPr="008B569E" w14:paraId="08567635" w14:textId="26ED0049" w:rsidTr="00997231">
        <w:trPr>
          <w:tblHeader/>
        </w:trPr>
        <w:tc>
          <w:tcPr>
            <w:tcW w:w="616" w:type="dxa"/>
            <w:vAlign w:val="center"/>
          </w:tcPr>
          <w:p w14:paraId="59FADF54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906" w:type="dxa"/>
          </w:tcPr>
          <w:p w14:paraId="4C8F7E1C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163" w:type="dxa"/>
          </w:tcPr>
          <w:p w14:paraId="246D2A5E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555" w:type="dxa"/>
          </w:tcPr>
          <w:p w14:paraId="267D0438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721" w:type="dxa"/>
          </w:tcPr>
          <w:p w14:paraId="49731281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875" w:type="dxa"/>
          </w:tcPr>
          <w:p w14:paraId="1A0847A0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153" w:type="dxa"/>
          </w:tcPr>
          <w:p w14:paraId="09D2CBC3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138" w:type="dxa"/>
          </w:tcPr>
          <w:p w14:paraId="3C24CBF5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262" w:type="dxa"/>
          </w:tcPr>
          <w:p w14:paraId="7BEF5701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635" w:type="dxa"/>
          </w:tcPr>
          <w:p w14:paraId="6D30B4C7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</w:tr>
      <w:tr w:rsidR="00E433FC" w:rsidRPr="008B569E" w14:paraId="6B38062A" w14:textId="00942258" w:rsidTr="00997231">
        <w:trPr>
          <w:tblHeader/>
        </w:trPr>
        <w:tc>
          <w:tcPr>
            <w:tcW w:w="616" w:type="dxa"/>
            <w:vAlign w:val="center"/>
          </w:tcPr>
          <w:p w14:paraId="780176D0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906" w:type="dxa"/>
          </w:tcPr>
          <w:p w14:paraId="08D2F674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163" w:type="dxa"/>
          </w:tcPr>
          <w:p w14:paraId="798CBB55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555" w:type="dxa"/>
          </w:tcPr>
          <w:p w14:paraId="16E5403A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721" w:type="dxa"/>
          </w:tcPr>
          <w:p w14:paraId="4D57C025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875" w:type="dxa"/>
          </w:tcPr>
          <w:p w14:paraId="718DA0E7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153" w:type="dxa"/>
          </w:tcPr>
          <w:p w14:paraId="7EB798C7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138" w:type="dxa"/>
          </w:tcPr>
          <w:p w14:paraId="2F4E0345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262" w:type="dxa"/>
          </w:tcPr>
          <w:p w14:paraId="4B5244D7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635" w:type="dxa"/>
          </w:tcPr>
          <w:p w14:paraId="4DF63ABF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</w:tr>
      <w:tr w:rsidR="00E433FC" w:rsidRPr="008B569E" w14:paraId="5414F0F5" w14:textId="7A3894BD" w:rsidTr="00997231">
        <w:trPr>
          <w:tblHeader/>
        </w:trPr>
        <w:tc>
          <w:tcPr>
            <w:tcW w:w="616" w:type="dxa"/>
            <w:vAlign w:val="center"/>
          </w:tcPr>
          <w:p w14:paraId="5F517C28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906" w:type="dxa"/>
          </w:tcPr>
          <w:p w14:paraId="224093C8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163" w:type="dxa"/>
          </w:tcPr>
          <w:p w14:paraId="1D847025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555" w:type="dxa"/>
          </w:tcPr>
          <w:p w14:paraId="19DBB693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721" w:type="dxa"/>
          </w:tcPr>
          <w:p w14:paraId="6E530DDC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875" w:type="dxa"/>
          </w:tcPr>
          <w:p w14:paraId="24F373B3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153" w:type="dxa"/>
          </w:tcPr>
          <w:p w14:paraId="46BCB5EF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138" w:type="dxa"/>
          </w:tcPr>
          <w:p w14:paraId="5DC03A9D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262" w:type="dxa"/>
          </w:tcPr>
          <w:p w14:paraId="468E4A56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635" w:type="dxa"/>
          </w:tcPr>
          <w:p w14:paraId="67AF1CC8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</w:tr>
      <w:tr w:rsidR="00E433FC" w:rsidRPr="008B569E" w14:paraId="62EC7C18" w14:textId="43F003E4" w:rsidTr="00997231">
        <w:trPr>
          <w:tblHeader/>
        </w:trPr>
        <w:tc>
          <w:tcPr>
            <w:tcW w:w="616" w:type="dxa"/>
            <w:vAlign w:val="center"/>
          </w:tcPr>
          <w:p w14:paraId="426CCC75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906" w:type="dxa"/>
          </w:tcPr>
          <w:p w14:paraId="0F7CB832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163" w:type="dxa"/>
          </w:tcPr>
          <w:p w14:paraId="295D22CC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555" w:type="dxa"/>
          </w:tcPr>
          <w:p w14:paraId="6F69D1D1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721" w:type="dxa"/>
          </w:tcPr>
          <w:p w14:paraId="6F82B475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875" w:type="dxa"/>
          </w:tcPr>
          <w:p w14:paraId="64ED22B2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153" w:type="dxa"/>
          </w:tcPr>
          <w:p w14:paraId="1D2B7B4D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138" w:type="dxa"/>
          </w:tcPr>
          <w:p w14:paraId="2E8F3D11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262" w:type="dxa"/>
          </w:tcPr>
          <w:p w14:paraId="6E6A1372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635" w:type="dxa"/>
          </w:tcPr>
          <w:p w14:paraId="69D2167F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</w:tr>
      <w:tr w:rsidR="00E433FC" w:rsidRPr="008B569E" w14:paraId="2A324F40" w14:textId="3BB5E9B8" w:rsidTr="00997231">
        <w:trPr>
          <w:tblHeader/>
        </w:trPr>
        <w:tc>
          <w:tcPr>
            <w:tcW w:w="616" w:type="dxa"/>
            <w:vAlign w:val="center"/>
          </w:tcPr>
          <w:p w14:paraId="25618B86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906" w:type="dxa"/>
          </w:tcPr>
          <w:p w14:paraId="779C5231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163" w:type="dxa"/>
          </w:tcPr>
          <w:p w14:paraId="00EE482F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555" w:type="dxa"/>
          </w:tcPr>
          <w:p w14:paraId="139A8AB1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721" w:type="dxa"/>
          </w:tcPr>
          <w:p w14:paraId="535AC261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875" w:type="dxa"/>
          </w:tcPr>
          <w:p w14:paraId="04DA6457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153" w:type="dxa"/>
          </w:tcPr>
          <w:p w14:paraId="5456CDA5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138" w:type="dxa"/>
          </w:tcPr>
          <w:p w14:paraId="0B0FB534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262" w:type="dxa"/>
          </w:tcPr>
          <w:p w14:paraId="167259E9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  <w:tc>
          <w:tcPr>
            <w:tcW w:w="1635" w:type="dxa"/>
          </w:tcPr>
          <w:p w14:paraId="4CD3FAAE" w14:textId="77777777" w:rsidR="00E433FC" w:rsidRPr="008B569E" w:rsidRDefault="00E433FC" w:rsidP="001146C1">
            <w:pPr>
              <w:keepNext/>
              <w:rPr>
                <w:rFonts w:eastAsia="Times" w:cs="Arial"/>
                <w:szCs w:val="20"/>
              </w:rPr>
            </w:pPr>
          </w:p>
        </w:tc>
      </w:tr>
    </w:tbl>
    <w:p w14:paraId="5CC3FFF7" w14:textId="77777777" w:rsidR="00A031E2" w:rsidRDefault="00A031E2"/>
    <w:p w14:paraId="663F9240" w14:textId="77777777" w:rsidR="00A031E2" w:rsidRDefault="00A031E2">
      <w:pPr>
        <w:spacing w:after="160" w:line="259" w:lineRule="auto"/>
      </w:pPr>
      <w:r>
        <w:br w:type="page"/>
      </w:r>
    </w:p>
    <w:p w14:paraId="2FDA9431" w14:textId="77777777" w:rsidR="00A031E2" w:rsidRPr="001D44BF" w:rsidRDefault="00A031E2" w:rsidP="008539C1">
      <w:pPr>
        <w:pStyle w:val="Ttulo1"/>
        <w:rPr>
          <w:bCs/>
          <w:color w:val="1F4E79" w:themeColor="accent1" w:themeShade="80"/>
          <w:szCs w:val="28"/>
          <w:lang w:val="es-ES_tradnl" w:eastAsia="es-ES"/>
        </w:rPr>
      </w:pPr>
      <w:r w:rsidRPr="001D44BF">
        <w:rPr>
          <w:bCs/>
          <w:color w:val="1F4E79" w:themeColor="accent1" w:themeShade="80"/>
          <w:szCs w:val="28"/>
          <w:lang w:val="es-ES_tradnl" w:eastAsia="es-ES"/>
        </w:rPr>
        <w:lastRenderedPageBreak/>
        <w:t>Guía</w:t>
      </w:r>
      <w:bookmarkStart w:id="0" w:name="_GoBack"/>
      <w:bookmarkEnd w:id="0"/>
    </w:p>
    <w:p w14:paraId="6F73E7B3" w14:textId="77777777" w:rsidR="00A031E2" w:rsidRDefault="00A031E2" w:rsidP="00A031E2">
      <w:pPr>
        <w:spacing w:after="0" w:line="240" w:lineRule="auto"/>
      </w:pPr>
    </w:p>
    <w:p w14:paraId="4E6D8EFA" w14:textId="0C3D6507" w:rsidR="001A631E" w:rsidRDefault="00731F63" w:rsidP="009A40D9">
      <w:pPr>
        <w:spacing w:after="0" w:line="240" w:lineRule="auto"/>
        <w:jc w:val="both"/>
      </w:pPr>
      <w:r>
        <w:t>Los servicios de TIC dan soporte a los procesos internos que ayudan a cumplir con las funciones y objetivos de la entidad o dependencia. El c</w:t>
      </w:r>
      <w:r w:rsidR="009A40D9">
        <w:t xml:space="preserve">ontar con un catálogo de </w:t>
      </w:r>
      <w:r w:rsidR="001A631E">
        <w:t xml:space="preserve">los </w:t>
      </w:r>
      <w:r w:rsidR="009A40D9">
        <w:t>servicios de</w:t>
      </w:r>
      <w:r w:rsidR="005F7198">
        <w:t xml:space="preserve"> TIC que </w:t>
      </w:r>
      <w:r w:rsidR="001A631E">
        <w:t xml:space="preserve">brinda </w:t>
      </w:r>
      <w:r w:rsidR="005F7198">
        <w:t>la entidad o dependencia</w:t>
      </w:r>
      <w:r w:rsidR="00601E4A">
        <w:t xml:space="preserve"> a </w:t>
      </w:r>
      <w:r w:rsidR="001A631E">
        <w:t xml:space="preserve">sus </w:t>
      </w:r>
      <w:r w:rsidR="00601E4A">
        <w:t xml:space="preserve">áreas internas, investigadores, profesores y/o alumnos, </w:t>
      </w:r>
      <w:r w:rsidR="001A631E">
        <w:t xml:space="preserve">a </w:t>
      </w:r>
      <w:r w:rsidR="00601E4A">
        <w:t xml:space="preserve">otras áreas universitarias y/o </w:t>
      </w:r>
      <w:r w:rsidR="001A631E">
        <w:t xml:space="preserve">a </w:t>
      </w:r>
      <w:r w:rsidR="00601E4A">
        <w:t>la sociedad en general</w:t>
      </w:r>
      <w:r w:rsidR="003E4F67">
        <w:t>,</w:t>
      </w:r>
      <w:r w:rsidR="005F7198">
        <w:t xml:space="preserve"> </w:t>
      </w:r>
      <w:r w:rsidR="009A40D9">
        <w:t>permit</w:t>
      </w:r>
      <w:r w:rsidR="00601E4A">
        <w:t>irá</w:t>
      </w:r>
      <w:r w:rsidR="009A40D9">
        <w:t xml:space="preserve"> </w:t>
      </w:r>
      <w:r w:rsidR="001A631E">
        <w:t xml:space="preserve">tener identificados aquellos servicios </w:t>
      </w:r>
      <w:r w:rsidR="00775991">
        <w:t xml:space="preserve">a cargo </w:t>
      </w:r>
      <w:r w:rsidR="001A631E">
        <w:t xml:space="preserve">del área de TIC o de un proveedor externo para tener presente los niveles de servicios establecidos o que se deseen establecer en concordancia con las capacidades técnicas que se tienen, conocer </w:t>
      </w:r>
      <w:r w:rsidR="00926CC5">
        <w:t>el impacto que pueden tener en la organización</w:t>
      </w:r>
      <w:r w:rsidR="003E4F67">
        <w:t xml:space="preserve"> en caso de indisponibilidad</w:t>
      </w:r>
      <w:r w:rsidR="00A031E2">
        <w:t xml:space="preserve">, además </w:t>
      </w:r>
      <w:r w:rsidR="009A40D9">
        <w:t xml:space="preserve">de poder </w:t>
      </w:r>
      <w:r w:rsidR="00775991">
        <w:t xml:space="preserve">actuar </w:t>
      </w:r>
      <w:r w:rsidR="001A631E">
        <w:t>de manera pronta ante una contingencia.</w:t>
      </w:r>
    </w:p>
    <w:p w14:paraId="5C12E216" w14:textId="77777777" w:rsidR="001A631E" w:rsidRDefault="001A631E" w:rsidP="009A40D9">
      <w:pPr>
        <w:spacing w:after="0" w:line="240" w:lineRule="auto"/>
        <w:jc w:val="both"/>
      </w:pPr>
    </w:p>
    <w:p w14:paraId="5B785AF4" w14:textId="4A77C901" w:rsidR="006564E6" w:rsidRDefault="00997231" w:rsidP="009A40D9">
      <w:pPr>
        <w:spacing w:after="0" w:line="240" w:lineRule="auto"/>
        <w:jc w:val="both"/>
      </w:pPr>
      <w:r>
        <w:t xml:space="preserve">El </w:t>
      </w:r>
      <w:r w:rsidR="00F76B35">
        <w:t>catálogo debe ser actualizado cuando ocurra</w:t>
      </w:r>
      <w:r>
        <w:t xml:space="preserve"> algún cambio o sea liberado </w:t>
      </w:r>
      <w:r w:rsidR="00F76B35">
        <w:t>un servicio en la entidad o dependencia.</w:t>
      </w:r>
    </w:p>
    <w:p w14:paraId="3346313C" w14:textId="77777777" w:rsidR="00F76B35" w:rsidRDefault="00F76B35" w:rsidP="009A40D9">
      <w:pPr>
        <w:spacing w:after="0" w:line="240" w:lineRule="auto"/>
        <w:jc w:val="both"/>
      </w:pPr>
    </w:p>
    <w:p w14:paraId="26DBA889" w14:textId="77777777" w:rsidR="00F76B35" w:rsidRPr="00E41AD4" w:rsidRDefault="00B93140" w:rsidP="00B93140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 w:rsidRPr="00B93140">
        <w:rPr>
          <w:b/>
        </w:rPr>
        <w:t>ID-SERV</w:t>
      </w:r>
      <w:r w:rsidR="00F76B35">
        <w:rPr>
          <w:b/>
        </w:rPr>
        <w:t xml:space="preserve">: </w:t>
      </w:r>
      <w:r>
        <w:t>Identificador interno para el servicio de TIC, puede ser un número o una combinación de número y letras</w:t>
      </w:r>
      <w:r w:rsidR="00F76B35">
        <w:t>.</w:t>
      </w:r>
    </w:p>
    <w:p w14:paraId="53DD4C29" w14:textId="77777777" w:rsidR="00F76B35" w:rsidRDefault="00C933CA" w:rsidP="00B93140">
      <w:pPr>
        <w:numPr>
          <w:ilvl w:val="0"/>
          <w:numId w:val="4"/>
        </w:numPr>
        <w:spacing w:after="120" w:line="240" w:lineRule="auto"/>
        <w:jc w:val="both"/>
      </w:pPr>
      <w:r w:rsidRPr="00B93140">
        <w:rPr>
          <w:b/>
        </w:rPr>
        <w:t>Nombre del servicio</w:t>
      </w:r>
      <w:r w:rsidR="00F76B35">
        <w:rPr>
          <w:b/>
        </w:rPr>
        <w:t xml:space="preserve">: </w:t>
      </w:r>
      <w:r>
        <w:t>Nombre</w:t>
      </w:r>
      <w:r w:rsidR="00F76B35" w:rsidRPr="00E41AD4">
        <w:t xml:space="preserve"> </w:t>
      </w:r>
      <w:r>
        <w:t>d</w:t>
      </w:r>
      <w:r w:rsidR="00F76B35" w:rsidRPr="00E41AD4">
        <w:t>el servicio de TIC</w:t>
      </w:r>
      <w:r>
        <w:t xml:space="preserve"> que se proporciona en la entidad o dependencia.</w:t>
      </w:r>
    </w:p>
    <w:p w14:paraId="6BBFAA2B" w14:textId="7F753A0A" w:rsidR="00775991" w:rsidRDefault="00775991" w:rsidP="00B93140">
      <w:pPr>
        <w:numPr>
          <w:ilvl w:val="0"/>
          <w:numId w:val="4"/>
        </w:numPr>
        <w:spacing w:after="120" w:line="240" w:lineRule="auto"/>
        <w:jc w:val="both"/>
      </w:pPr>
      <w:r>
        <w:rPr>
          <w:b/>
        </w:rPr>
        <w:t>Obje</w:t>
      </w:r>
      <w:r w:rsidR="00C61264">
        <w:rPr>
          <w:b/>
        </w:rPr>
        <w:t>tivo o descripción del servicio:</w:t>
      </w:r>
      <w:r w:rsidR="00C61264" w:rsidRPr="00C61264">
        <w:t xml:space="preserve"> </w:t>
      </w:r>
      <w:r w:rsidR="00C61264">
        <w:t xml:space="preserve">Especificar con qué objetivo se </w:t>
      </w:r>
      <w:r w:rsidR="00997231">
        <w:t>está brindando el servicio y qué</w:t>
      </w:r>
      <w:r w:rsidR="00C61264">
        <w:t xml:space="preserve"> es lo que hace.</w:t>
      </w:r>
    </w:p>
    <w:p w14:paraId="32F01554" w14:textId="77777777" w:rsidR="00C933CA" w:rsidRDefault="00C933CA" w:rsidP="00C933CA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>
        <w:rPr>
          <w:b/>
        </w:rPr>
        <w:t>P</w:t>
      </w:r>
      <w:r w:rsidRPr="00C933CA">
        <w:rPr>
          <w:b/>
        </w:rPr>
        <w:t>ropietario del servicio (responsable):</w:t>
      </w:r>
      <w:r w:rsidRPr="00C933CA">
        <w:t xml:space="preserve"> </w:t>
      </w:r>
      <w:r w:rsidR="00321F6E">
        <w:t>Nombre de la persona o área que es responsable del servicio de TIC, teléfono y correo electrónico.</w:t>
      </w:r>
    </w:p>
    <w:p w14:paraId="3F6F0BF6" w14:textId="4A17D62D" w:rsidR="00C933CA" w:rsidRPr="00C933CA" w:rsidRDefault="00C933CA" w:rsidP="00C933CA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>
        <w:rPr>
          <w:b/>
        </w:rPr>
        <w:t>A</w:t>
      </w:r>
      <w:r w:rsidRPr="00C933CA">
        <w:rPr>
          <w:b/>
        </w:rPr>
        <w:t xml:space="preserve"> quién(es) va dirigido / usuarios</w:t>
      </w:r>
      <w:r>
        <w:rPr>
          <w:b/>
        </w:rPr>
        <w:t>:</w:t>
      </w:r>
      <w:r w:rsidR="00731F63" w:rsidRPr="00731F63">
        <w:t xml:space="preserve"> </w:t>
      </w:r>
      <w:r w:rsidR="00E54477">
        <w:t>Para quién está e</w:t>
      </w:r>
      <w:r w:rsidR="00997231">
        <w:t>nfocado el servicio de TIC, quié</w:t>
      </w:r>
      <w:r w:rsidR="00E54477">
        <w:t>nes son los usuarios o áreas que reciben el servicio</w:t>
      </w:r>
      <w:r w:rsidR="00731F63">
        <w:t>.</w:t>
      </w:r>
    </w:p>
    <w:p w14:paraId="4A882E1C" w14:textId="77777777" w:rsidR="008C3085" w:rsidRDefault="00C933CA" w:rsidP="00C933CA">
      <w:pPr>
        <w:numPr>
          <w:ilvl w:val="0"/>
          <w:numId w:val="4"/>
        </w:numPr>
        <w:spacing w:after="120" w:line="240" w:lineRule="auto"/>
        <w:jc w:val="both"/>
      </w:pPr>
      <w:r w:rsidRPr="00C933CA">
        <w:rPr>
          <w:b/>
        </w:rPr>
        <w:t>Tipo de servicio</w:t>
      </w:r>
      <w:r>
        <w:rPr>
          <w:b/>
        </w:rPr>
        <w:t>:</w:t>
      </w:r>
      <w:r w:rsidRPr="00580BB5">
        <w:t xml:space="preserve"> </w:t>
      </w:r>
    </w:p>
    <w:p w14:paraId="750EDFE2" w14:textId="491B453F" w:rsidR="008C3085" w:rsidRDefault="008C3085" w:rsidP="008C3085">
      <w:pPr>
        <w:numPr>
          <w:ilvl w:val="1"/>
          <w:numId w:val="4"/>
        </w:numPr>
        <w:spacing w:after="120" w:line="240" w:lineRule="auto"/>
        <w:jc w:val="both"/>
      </w:pPr>
      <w:r>
        <w:t xml:space="preserve">Servicios de </w:t>
      </w:r>
      <w:r w:rsidR="00D64EC0">
        <w:t>TI</w:t>
      </w:r>
      <w:r>
        <w:t>, soportan las funciones u objetivos estratégicos de la entidad o dependencia</w:t>
      </w:r>
      <w:r w:rsidR="009775BF">
        <w:t xml:space="preserve"> y son accesibles directamente por los usuarios</w:t>
      </w:r>
      <w:r w:rsidR="005B233D">
        <w:t xml:space="preserve"> (por ejemplo: Sistema de Compras Institucional, Portal del Instituto, Correo Electrónico Institucional, entre otros)</w:t>
      </w:r>
      <w:r w:rsidR="00997231">
        <w:t>;</w:t>
      </w:r>
    </w:p>
    <w:p w14:paraId="6F7B9343" w14:textId="470A640D" w:rsidR="008C3085" w:rsidRDefault="008C3085" w:rsidP="008C3085">
      <w:pPr>
        <w:numPr>
          <w:ilvl w:val="1"/>
          <w:numId w:val="4"/>
        </w:numPr>
        <w:spacing w:after="120" w:line="240" w:lineRule="auto"/>
        <w:jc w:val="both"/>
      </w:pPr>
      <w:r>
        <w:t>I</w:t>
      </w:r>
      <w:r w:rsidR="00D64EC0">
        <w:t>nfraestructura</w:t>
      </w:r>
      <w:r w:rsidR="009775BF">
        <w:t>, soportan a los servicios de TI y no son accesibles directamente por los usuarios</w:t>
      </w:r>
      <w:r w:rsidR="005B233D">
        <w:t xml:space="preserve"> (administración de servidores</w:t>
      </w:r>
      <w:r w:rsidR="009775BF">
        <w:t>,</w:t>
      </w:r>
      <w:r w:rsidR="009C0218">
        <w:t xml:space="preserve"> </w:t>
      </w:r>
      <w:r w:rsidR="00787873">
        <w:t xml:space="preserve">administración de bases de datos, </w:t>
      </w:r>
      <w:r w:rsidR="009C0218">
        <w:t>conexi</w:t>
      </w:r>
      <w:r w:rsidR="00997231">
        <w:t>ón de red interna, entre otros);</w:t>
      </w:r>
    </w:p>
    <w:p w14:paraId="222AAB0B" w14:textId="7AB4F732" w:rsidR="00C933CA" w:rsidRPr="00580BB5" w:rsidRDefault="008C3085" w:rsidP="008C3085">
      <w:pPr>
        <w:numPr>
          <w:ilvl w:val="1"/>
          <w:numId w:val="4"/>
        </w:numPr>
        <w:spacing w:after="120" w:line="240" w:lineRule="auto"/>
        <w:jc w:val="both"/>
      </w:pPr>
      <w:r>
        <w:t>S</w:t>
      </w:r>
      <w:r w:rsidR="009775BF">
        <w:t>oporte, prestados por proveedores externos para mantener la operación de las TIC en la entidad o dependencia</w:t>
      </w:r>
      <w:r w:rsidR="009C0218">
        <w:t xml:space="preserve"> (por ejemplo: mantenimiento preventivo o correctivo</w:t>
      </w:r>
      <w:r w:rsidR="00787873">
        <w:t xml:space="preserve"> de servidores</w:t>
      </w:r>
      <w:r w:rsidR="009C0218">
        <w:t xml:space="preserve">, conexión a Internet, </w:t>
      </w:r>
      <w:r w:rsidR="00787873">
        <w:t xml:space="preserve">mantenimiento preventivo o correctivo de equipos de red, </w:t>
      </w:r>
      <w:r w:rsidR="009C0218">
        <w:t>entre otros)</w:t>
      </w:r>
      <w:r w:rsidR="00731F63">
        <w:t>.</w:t>
      </w:r>
    </w:p>
    <w:p w14:paraId="59F09432" w14:textId="2020318C" w:rsidR="007207B0" w:rsidRDefault="007207B0" w:rsidP="007207B0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 w:rsidRPr="007207B0">
        <w:rPr>
          <w:b/>
        </w:rPr>
        <w:t>Horario del servicio</w:t>
      </w:r>
      <w:r>
        <w:rPr>
          <w:b/>
        </w:rPr>
        <w:t xml:space="preserve">: </w:t>
      </w:r>
      <w:r w:rsidR="000D00C4" w:rsidRPr="000D00C4">
        <w:t>Ventana de tiempo en la que el servicio debe estar disponible</w:t>
      </w:r>
      <w:r w:rsidR="000D00C4">
        <w:t xml:space="preserve">. Por ejemplo: </w:t>
      </w:r>
      <w:r w:rsidR="00997231" w:rsidRPr="000D00C4">
        <w:t>lunes</w:t>
      </w:r>
      <w:r w:rsidR="000D00C4">
        <w:t xml:space="preserve"> a </w:t>
      </w:r>
      <w:r w:rsidR="00997231">
        <w:t>v</w:t>
      </w:r>
      <w:r w:rsidR="000D00C4" w:rsidRPr="000D00C4">
        <w:t>iernes, de 9</w:t>
      </w:r>
      <w:r w:rsidR="000D00C4">
        <w:t xml:space="preserve">:00 </w:t>
      </w:r>
      <w:r w:rsidR="000D00C4" w:rsidRPr="000D00C4">
        <w:t>am a 2</w:t>
      </w:r>
      <w:r w:rsidR="000D00C4">
        <w:t xml:space="preserve">1:00 </w:t>
      </w:r>
      <w:r w:rsidR="000D00C4" w:rsidRPr="000D00C4">
        <w:t>pm</w:t>
      </w:r>
      <w:r w:rsidR="000D00C4">
        <w:t>.</w:t>
      </w:r>
    </w:p>
    <w:p w14:paraId="7D721BC6" w14:textId="0623FB4F" w:rsidR="007207B0" w:rsidRPr="000D00C4" w:rsidRDefault="007207B0" w:rsidP="000D00C4">
      <w:pPr>
        <w:numPr>
          <w:ilvl w:val="0"/>
          <w:numId w:val="4"/>
        </w:numPr>
        <w:spacing w:after="120" w:line="240" w:lineRule="auto"/>
        <w:jc w:val="both"/>
      </w:pPr>
      <w:r w:rsidRPr="007207B0">
        <w:rPr>
          <w:b/>
        </w:rPr>
        <w:t>Período crítico</w:t>
      </w:r>
      <w:r>
        <w:rPr>
          <w:b/>
        </w:rPr>
        <w:t>:</w:t>
      </w:r>
      <w:r w:rsidR="000D00C4">
        <w:t xml:space="preserve"> Período de tiempo en que el servicio se vuelve crítico para el cumplimiento de las funciones de la entidad o dependencia. Por ejemplo: </w:t>
      </w:r>
      <w:r w:rsidR="00997231">
        <w:t>d</w:t>
      </w:r>
      <w:r w:rsidR="000D00C4">
        <w:t>el 22 de agosto al 13 de septiembre.</w:t>
      </w:r>
    </w:p>
    <w:p w14:paraId="1DA0846D" w14:textId="77777777" w:rsidR="000C77CD" w:rsidRDefault="000C77CD" w:rsidP="005533AC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 w:rsidRPr="000C77CD">
        <w:rPr>
          <w:b/>
        </w:rPr>
        <w:t>Impacto para la E/D</w:t>
      </w:r>
      <w:r>
        <w:rPr>
          <w:b/>
        </w:rPr>
        <w:t>:</w:t>
      </w:r>
      <w:r w:rsidR="005533AC" w:rsidRPr="005533AC">
        <w:t xml:space="preserve"> Qué tanto afecta a la operación o la realización de una de sus funciones de una entidad o dependencia universitaria</w:t>
      </w:r>
      <w:r w:rsidR="005533AC">
        <w:t>.</w:t>
      </w:r>
    </w:p>
    <w:p w14:paraId="32050910" w14:textId="77777777" w:rsidR="000C77CD" w:rsidRPr="000C77CD" w:rsidRDefault="000C77CD" w:rsidP="000C77CD">
      <w:pPr>
        <w:numPr>
          <w:ilvl w:val="0"/>
          <w:numId w:val="4"/>
        </w:numPr>
        <w:spacing w:after="120" w:line="240" w:lineRule="auto"/>
        <w:jc w:val="both"/>
        <w:rPr>
          <w:b/>
        </w:rPr>
      </w:pPr>
      <w:r w:rsidRPr="000C77CD">
        <w:rPr>
          <w:b/>
        </w:rPr>
        <w:t>Documentación técnica disponible</w:t>
      </w:r>
      <w:r>
        <w:rPr>
          <w:b/>
        </w:rPr>
        <w:t>:</w:t>
      </w:r>
      <w:r w:rsidRPr="00D21A48">
        <w:t xml:space="preserve"> </w:t>
      </w:r>
      <w:r w:rsidR="00D21A48" w:rsidRPr="00D21A48">
        <w:t>Es</w:t>
      </w:r>
      <w:r w:rsidR="00D21A48">
        <w:t>pecificar el anexo y/o documento que contiene la información técnica de la infraestructura que soporta el servicio o el contrato con el proveedor que lo brinda.</w:t>
      </w:r>
    </w:p>
    <w:p w14:paraId="06397EE3" w14:textId="77777777" w:rsidR="00F76B35" w:rsidRDefault="00F76B35" w:rsidP="009A40D9">
      <w:pPr>
        <w:spacing w:after="0" w:line="240" w:lineRule="auto"/>
        <w:jc w:val="both"/>
      </w:pPr>
    </w:p>
    <w:p w14:paraId="66C5764C" w14:textId="77777777" w:rsidR="006564E6" w:rsidRDefault="006564E6" w:rsidP="009A40D9">
      <w:pPr>
        <w:spacing w:after="0" w:line="240" w:lineRule="auto"/>
        <w:jc w:val="both"/>
      </w:pPr>
    </w:p>
    <w:p w14:paraId="6BA8049F" w14:textId="77777777" w:rsidR="00A031E2" w:rsidRPr="00293D0F" w:rsidRDefault="00A031E2" w:rsidP="00293D0F">
      <w:pPr>
        <w:spacing w:after="160" w:line="259" w:lineRule="auto"/>
        <w:rPr>
          <w:rFonts w:ascii="Arial" w:eastAsia="MS Mincho" w:hAnsi="Arial" w:cs="Arial"/>
          <w:b/>
          <w:bCs/>
          <w:smallCaps/>
          <w:spacing w:val="40"/>
          <w:sz w:val="28"/>
          <w:szCs w:val="24"/>
          <w:lang w:val="es-E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A031E2" w:rsidRPr="00293D0F" w:rsidSect="006E2E5E">
      <w:headerReference w:type="default" r:id="rId7"/>
      <w:footerReference w:type="default" r:id="rId8"/>
      <w:pgSz w:w="15840" w:h="12240" w:orient="landscape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A1EDF" w14:textId="77777777" w:rsidR="005C6811" w:rsidRDefault="005C6811" w:rsidP="00A031E2">
      <w:pPr>
        <w:spacing w:after="0" w:line="240" w:lineRule="auto"/>
      </w:pPr>
      <w:r>
        <w:separator/>
      </w:r>
    </w:p>
  </w:endnote>
  <w:endnote w:type="continuationSeparator" w:id="0">
    <w:p w14:paraId="290483D7" w14:textId="77777777" w:rsidR="005C6811" w:rsidRDefault="005C6811" w:rsidP="00A0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Times" w:cs="Arial"/>
        <w:b/>
        <w:sz w:val="14"/>
        <w:szCs w:val="14"/>
      </w:rPr>
      <w:id w:val="2073533894"/>
      <w:docPartObj>
        <w:docPartGallery w:val="Page Numbers (Bottom of Page)"/>
        <w:docPartUnique/>
      </w:docPartObj>
    </w:sdtPr>
    <w:sdtEndPr>
      <w:rPr>
        <w:rFonts w:eastAsia="Calibri" w:cs="Times New Roman"/>
        <w:b w:val="0"/>
        <w:i/>
        <w:sz w:val="18"/>
        <w:szCs w:val="22"/>
      </w:rPr>
    </w:sdtEndPr>
    <w:sdtContent>
      <w:p w14:paraId="03E18987" w14:textId="59CB6EEB" w:rsidR="007438A1" w:rsidRPr="007438A1" w:rsidRDefault="007438A1" w:rsidP="007438A1">
        <w:pPr>
          <w:pBdr>
            <w:top w:val="single" w:sz="4" w:space="1" w:color="auto"/>
          </w:pBdr>
          <w:tabs>
            <w:tab w:val="center" w:pos="4419"/>
            <w:tab w:val="right" w:pos="8838"/>
          </w:tabs>
          <w:rPr>
            <w:rFonts w:eastAsia="Times" w:cs="Arial"/>
            <w:sz w:val="14"/>
            <w:szCs w:val="14"/>
          </w:rPr>
        </w:pPr>
        <w:r>
          <w:rPr>
            <w:rFonts w:eastAsia="Times" w:cs="Arial"/>
            <w:b/>
            <w:sz w:val="14"/>
            <w:szCs w:val="14"/>
          </w:rPr>
          <w:t>Catálogo de servicios de TIC</w:t>
        </w:r>
        <w:r w:rsidR="009C0A5D">
          <w:rPr>
            <w:rFonts w:eastAsia="Times" w:cs="Arial"/>
            <w:b/>
            <w:sz w:val="14"/>
            <w:szCs w:val="14"/>
          </w:rPr>
          <w:t xml:space="preserve"> - &lt;Nombre de la entidad académica o dependencia administrativa UNAM&gt;</w:t>
        </w:r>
        <w:r>
          <w:rPr>
            <w:rFonts w:eastAsia="Times" w:cs="Arial"/>
            <w:b/>
            <w:sz w:val="14"/>
            <w:szCs w:val="14"/>
          </w:rPr>
          <w:br/>
        </w:r>
        <w:r w:rsidRPr="00245720">
          <w:rPr>
            <w:rFonts w:eastAsia="Times" w:cs="Arial"/>
            <w:b/>
            <w:sz w:val="14"/>
            <w:szCs w:val="14"/>
          </w:rPr>
          <w:t>Fecha:</w:t>
        </w:r>
        <w:r w:rsidRPr="00245720">
          <w:rPr>
            <w:rFonts w:eastAsia="Times" w:cs="Arial"/>
            <w:color w:val="A6A6A6"/>
            <w:sz w:val="14"/>
            <w:szCs w:val="14"/>
          </w:rPr>
          <w:t xml:space="preserve"> </w:t>
        </w:r>
        <w:r w:rsidR="009C0A5D">
          <w:rPr>
            <w:rFonts w:eastAsia="Times" w:cs="Arial"/>
            <w:sz w:val="14"/>
            <w:szCs w:val="14"/>
          </w:rPr>
          <w:t>dd/mm/aaaa</w:t>
        </w:r>
        <w:r w:rsidRPr="00245720">
          <w:rPr>
            <w:rFonts w:eastAsia="Times" w:cs="Arial"/>
            <w:sz w:val="14"/>
            <w:szCs w:val="14"/>
          </w:rPr>
          <w:t xml:space="preserve">   </w:t>
        </w:r>
        <w:r w:rsidRPr="00245720">
          <w:rPr>
            <w:rFonts w:eastAsia="Times" w:cs="Arial"/>
            <w:color w:val="A6A6A6"/>
            <w:sz w:val="14"/>
            <w:szCs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rFonts w:eastAsia="Times" w:cs="Arial"/>
            <w:color w:val="A6A6A6"/>
            <w:sz w:val="14"/>
            <w:szCs w:val="14"/>
          </w:rPr>
          <w:tab/>
          <w:t xml:space="preserve">                                                                                                                                           </w:t>
        </w:r>
        <w:r w:rsidRPr="00245720">
          <w:rPr>
            <w:rFonts w:eastAsia="Times" w:cs="Arial"/>
            <w:color w:val="A6A6A6"/>
            <w:sz w:val="14"/>
            <w:szCs w:val="14"/>
          </w:rPr>
          <w:t xml:space="preserve">  </w:t>
        </w:r>
        <w:r w:rsidRPr="00245720">
          <w:rPr>
            <w:rFonts w:eastAsia="Times" w:cs="Arial"/>
            <w:sz w:val="14"/>
            <w:szCs w:val="14"/>
          </w:rPr>
          <w:t xml:space="preserve">Página: </w:t>
        </w:r>
        <w:r w:rsidRPr="00245720">
          <w:rPr>
            <w:rFonts w:eastAsia="Times" w:cs="Arial"/>
            <w:sz w:val="14"/>
            <w:szCs w:val="14"/>
          </w:rPr>
          <w:fldChar w:fldCharType="begin"/>
        </w:r>
        <w:r w:rsidRPr="00245720">
          <w:rPr>
            <w:rFonts w:eastAsia="Times" w:cs="Arial"/>
            <w:sz w:val="14"/>
            <w:szCs w:val="14"/>
          </w:rPr>
          <w:instrText xml:space="preserve"> PAGE </w:instrText>
        </w:r>
        <w:r w:rsidRPr="00245720">
          <w:rPr>
            <w:rFonts w:eastAsia="Times" w:cs="Arial"/>
            <w:sz w:val="14"/>
            <w:szCs w:val="14"/>
          </w:rPr>
          <w:fldChar w:fldCharType="separate"/>
        </w:r>
        <w:r w:rsidR="005C6811">
          <w:rPr>
            <w:rFonts w:eastAsia="Times" w:cs="Arial"/>
            <w:noProof/>
            <w:sz w:val="14"/>
            <w:szCs w:val="14"/>
          </w:rPr>
          <w:t>1</w:t>
        </w:r>
        <w:r w:rsidRPr="00245720">
          <w:rPr>
            <w:rFonts w:eastAsia="Times" w:cs="Arial"/>
            <w:sz w:val="14"/>
            <w:szCs w:val="14"/>
          </w:rPr>
          <w:fldChar w:fldCharType="end"/>
        </w:r>
        <w:r w:rsidRPr="00245720">
          <w:rPr>
            <w:rFonts w:eastAsia="Times" w:cs="Arial"/>
            <w:sz w:val="14"/>
            <w:szCs w:val="14"/>
          </w:rPr>
          <w:t xml:space="preserve"> de </w:t>
        </w:r>
        <w:r w:rsidRPr="00245720">
          <w:rPr>
            <w:rFonts w:eastAsia="Times" w:cs="Arial"/>
            <w:sz w:val="14"/>
            <w:szCs w:val="14"/>
          </w:rPr>
          <w:fldChar w:fldCharType="begin"/>
        </w:r>
        <w:r w:rsidRPr="00245720">
          <w:rPr>
            <w:rFonts w:eastAsia="Times" w:cs="Arial"/>
            <w:sz w:val="14"/>
            <w:szCs w:val="14"/>
          </w:rPr>
          <w:instrText xml:space="preserve"> NUMPAGES </w:instrText>
        </w:r>
        <w:r w:rsidRPr="00245720">
          <w:rPr>
            <w:rFonts w:eastAsia="Times" w:cs="Arial"/>
            <w:sz w:val="14"/>
            <w:szCs w:val="14"/>
          </w:rPr>
          <w:fldChar w:fldCharType="separate"/>
        </w:r>
        <w:r w:rsidR="005C6811">
          <w:rPr>
            <w:rFonts w:eastAsia="Times" w:cs="Arial"/>
            <w:noProof/>
            <w:sz w:val="14"/>
            <w:szCs w:val="14"/>
          </w:rPr>
          <w:t>1</w:t>
        </w:r>
        <w:r w:rsidRPr="00245720">
          <w:rPr>
            <w:rFonts w:eastAsia="Times" w:cs="Arial"/>
            <w:sz w:val="14"/>
            <w:szCs w:val="14"/>
          </w:rPr>
          <w:fldChar w:fldCharType="end"/>
        </w:r>
        <w:r w:rsidRPr="00245720">
          <w:rPr>
            <w:rFonts w:eastAsia="Times" w:cs="Arial"/>
            <w:sz w:val="14"/>
            <w:szCs w:val="14"/>
          </w:rPr>
          <w:t xml:space="preserve">  </w:t>
        </w:r>
        <w:r>
          <w:rPr>
            <w:rFonts w:eastAsia="Times" w:cs="Arial"/>
            <w:sz w:val="14"/>
            <w:szCs w:val="14"/>
          </w:rPr>
          <w:br/>
        </w:r>
      </w:p>
    </w:sdtContent>
  </w:sdt>
  <w:p w14:paraId="5BA13394" w14:textId="77777777" w:rsidR="007438A1" w:rsidRDefault="007438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651E7" w14:textId="77777777" w:rsidR="005C6811" w:rsidRDefault="005C6811" w:rsidP="00A031E2">
      <w:pPr>
        <w:spacing w:after="0" w:line="240" w:lineRule="auto"/>
      </w:pPr>
      <w:r>
        <w:separator/>
      </w:r>
    </w:p>
  </w:footnote>
  <w:footnote w:type="continuationSeparator" w:id="0">
    <w:p w14:paraId="23DC39A5" w14:textId="77777777" w:rsidR="005C6811" w:rsidRDefault="005C6811" w:rsidP="00A03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7840"/>
    </w:tblGrid>
    <w:tr w:rsidR="00C012CD" w:rsidRPr="00C012CD" w14:paraId="76E82591" w14:textId="77777777" w:rsidTr="001146C1">
      <w:tc>
        <w:tcPr>
          <w:tcW w:w="988" w:type="dxa"/>
          <w:tcBorders>
            <w:right w:val="single" w:sz="4" w:space="0" w:color="auto"/>
          </w:tcBorders>
          <w:vAlign w:val="center"/>
        </w:tcPr>
        <w:p w14:paraId="4F48F4C3" w14:textId="77777777" w:rsidR="00C012CD" w:rsidRPr="00C012CD" w:rsidRDefault="00C012CD" w:rsidP="00C012C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MS Mincho" w:hAnsi="Calibri" w:cs="Arial"/>
              <w:sz w:val="22"/>
              <w:szCs w:val="24"/>
              <w:lang w:val="es-ES_tradnl" w:eastAsia="es-ES"/>
            </w:rPr>
          </w:pPr>
          <w:r w:rsidRPr="00C012CD">
            <w:rPr>
              <w:rFonts w:ascii="Calibri" w:eastAsia="MS Mincho" w:hAnsi="Calibri" w:cs="Arial"/>
              <w:noProof/>
              <w:szCs w:val="24"/>
            </w:rPr>
            <w:drawing>
              <wp:inline distT="0" distB="0" distL="0" distR="0" wp14:anchorId="42F62CB4" wp14:editId="58823B36">
                <wp:extent cx="412114" cy="431800"/>
                <wp:effectExtent l="0" t="0" r="762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9905"/>
                        <a:stretch/>
                      </pic:blipFill>
                      <pic:spPr bwMode="auto">
                        <a:xfrm>
                          <a:off x="0" y="0"/>
                          <a:ext cx="421694" cy="441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0" w:type="dxa"/>
          <w:tcBorders>
            <w:left w:val="single" w:sz="4" w:space="0" w:color="auto"/>
          </w:tcBorders>
          <w:vAlign w:val="center"/>
        </w:tcPr>
        <w:p w14:paraId="3CE2CB96" w14:textId="77777777" w:rsidR="00C012CD" w:rsidRPr="00C012CD" w:rsidRDefault="00C012CD" w:rsidP="00C012CD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Calibri" w:eastAsia="MS Mincho" w:hAnsi="Calibri" w:cs="Arial"/>
              <w:sz w:val="22"/>
              <w:szCs w:val="24"/>
              <w:lang w:val="es-ES_tradnl" w:eastAsia="es-ES"/>
            </w:rPr>
          </w:pPr>
          <w:r w:rsidRPr="00C012CD">
            <w:rPr>
              <w:rFonts w:ascii="Calibri" w:eastAsia="MS Mincho" w:hAnsi="Calibri" w:cs="Arial"/>
              <w:sz w:val="22"/>
              <w:szCs w:val="24"/>
              <w:lang w:val="es-ES_tradnl" w:eastAsia="es-ES"/>
            </w:rPr>
            <w:t>Universidad Nacional Autónoma de México</w:t>
          </w:r>
        </w:p>
        <w:p w14:paraId="6543D8FC" w14:textId="26C30B5E" w:rsidR="00C012CD" w:rsidRPr="00C012CD" w:rsidRDefault="009C0A5D" w:rsidP="00C012CD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Calibri" w:eastAsia="MS Mincho" w:hAnsi="Calibri" w:cs="Arial"/>
              <w:sz w:val="22"/>
              <w:szCs w:val="24"/>
              <w:lang w:val="es-ES_tradnl" w:eastAsia="es-ES"/>
            </w:rPr>
          </w:pPr>
          <w:r>
            <w:rPr>
              <w:rFonts w:ascii="Calibri" w:eastAsia="MS Mincho" w:hAnsi="Calibri" w:cs="Arial"/>
              <w:sz w:val="22"/>
              <w:szCs w:val="24"/>
              <w:lang w:val="es-ES_tradnl" w:eastAsia="es-ES"/>
            </w:rPr>
            <w:t>&lt;Nombre de la entidad académica o dependencia administrativa UNAM&gt;</w:t>
          </w:r>
        </w:p>
      </w:tc>
    </w:tr>
  </w:tbl>
  <w:p w14:paraId="1E29F9E8" w14:textId="77777777" w:rsidR="00A031E2" w:rsidRPr="00C012CD" w:rsidRDefault="00A031E2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0AA4"/>
    <w:multiLevelType w:val="hybridMultilevel"/>
    <w:tmpl w:val="03B80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5177"/>
    <w:multiLevelType w:val="hybridMultilevel"/>
    <w:tmpl w:val="22A68F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2BB4"/>
    <w:multiLevelType w:val="hybridMultilevel"/>
    <w:tmpl w:val="771E3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25897"/>
    <w:multiLevelType w:val="hybridMultilevel"/>
    <w:tmpl w:val="CEB81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80"/>
    <w:rsid w:val="000C125C"/>
    <w:rsid w:val="000C77CD"/>
    <w:rsid w:val="000D00C4"/>
    <w:rsid w:val="00116D26"/>
    <w:rsid w:val="0011721F"/>
    <w:rsid w:val="00177742"/>
    <w:rsid w:val="001A631E"/>
    <w:rsid w:val="001B2072"/>
    <w:rsid w:val="001B57E3"/>
    <w:rsid w:val="001D44BF"/>
    <w:rsid w:val="00291680"/>
    <w:rsid w:val="00291E33"/>
    <w:rsid w:val="00293D0F"/>
    <w:rsid w:val="0029571A"/>
    <w:rsid w:val="002F71D5"/>
    <w:rsid w:val="00314644"/>
    <w:rsid w:val="00321F6E"/>
    <w:rsid w:val="00323DCD"/>
    <w:rsid w:val="003A2896"/>
    <w:rsid w:val="003C7F97"/>
    <w:rsid w:val="003E4F67"/>
    <w:rsid w:val="00401D45"/>
    <w:rsid w:val="00413FA9"/>
    <w:rsid w:val="00435F10"/>
    <w:rsid w:val="005533AC"/>
    <w:rsid w:val="00553B1B"/>
    <w:rsid w:val="00580BB5"/>
    <w:rsid w:val="005B233D"/>
    <w:rsid w:val="005C2F6D"/>
    <w:rsid w:val="005C6811"/>
    <w:rsid w:val="005D4A19"/>
    <w:rsid w:val="005F3BF6"/>
    <w:rsid w:val="005F7198"/>
    <w:rsid w:val="00601E4A"/>
    <w:rsid w:val="006165F9"/>
    <w:rsid w:val="006564E6"/>
    <w:rsid w:val="006E2E5E"/>
    <w:rsid w:val="007207B0"/>
    <w:rsid w:val="00731F63"/>
    <w:rsid w:val="007438A1"/>
    <w:rsid w:val="00775991"/>
    <w:rsid w:val="00787873"/>
    <w:rsid w:val="008539C1"/>
    <w:rsid w:val="008B48B3"/>
    <w:rsid w:val="008C3085"/>
    <w:rsid w:val="00926CC5"/>
    <w:rsid w:val="009775BF"/>
    <w:rsid w:val="00997231"/>
    <w:rsid w:val="009A40D9"/>
    <w:rsid w:val="009C0218"/>
    <w:rsid w:val="009C0A5D"/>
    <w:rsid w:val="00A031E2"/>
    <w:rsid w:val="00AB0373"/>
    <w:rsid w:val="00AF5929"/>
    <w:rsid w:val="00B47FD4"/>
    <w:rsid w:val="00B56449"/>
    <w:rsid w:val="00B82A59"/>
    <w:rsid w:val="00B93140"/>
    <w:rsid w:val="00C012CD"/>
    <w:rsid w:val="00C36BA6"/>
    <w:rsid w:val="00C61264"/>
    <w:rsid w:val="00C933CA"/>
    <w:rsid w:val="00CA6741"/>
    <w:rsid w:val="00D21A48"/>
    <w:rsid w:val="00D64EC0"/>
    <w:rsid w:val="00DC124E"/>
    <w:rsid w:val="00E10437"/>
    <w:rsid w:val="00E433FC"/>
    <w:rsid w:val="00E54477"/>
    <w:rsid w:val="00E764B1"/>
    <w:rsid w:val="00F45D31"/>
    <w:rsid w:val="00F724B7"/>
    <w:rsid w:val="00F76B35"/>
    <w:rsid w:val="00FA1345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EAB15"/>
  <w15:chartTrackingRefBased/>
  <w15:docId w15:val="{375F637C-C8BA-4CB0-B90E-5C92D29A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80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012CD"/>
    <w:pPr>
      <w:keepNext/>
      <w:keepLines/>
      <w:spacing w:before="240" w:after="0"/>
      <w:jc w:val="both"/>
      <w:outlineLvl w:val="0"/>
    </w:pPr>
    <w:rPr>
      <w:rFonts w:ascii="Calibri" w:eastAsiaTheme="majorEastAsia" w:hAnsi="Calibri" w:cstheme="majorBidi"/>
      <w:b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91680"/>
    <w:pPr>
      <w:spacing w:after="0" w:line="240" w:lineRule="auto"/>
    </w:pPr>
    <w:rPr>
      <w:rFonts w:ascii="Arial" w:eastAsia="Times New Roman" w:hAnsi="Arial" w:cs="Times New Roman"/>
      <w:sz w:val="18"/>
      <w:szCs w:val="20"/>
      <w:lang w:val="es-ES" w:eastAsia="es-ES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blStylePr w:type="firstRow">
      <w:rPr>
        <w:rFonts w:ascii="Arial" w:hAnsi="Arial"/>
        <w:b/>
        <w:i w:val="0"/>
        <w:caps w:val="0"/>
        <w:smallCaps/>
        <w:sz w:val="18"/>
        <w:szCs w:val="18"/>
      </w:rPr>
      <w:tblPr/>
      <w:tcPr>
        <w:shd w:val="clear" w:color="auto" w:fill="D9D9D9"/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291680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91680"/>
  </w:style>
  <w:style w:type="paragraph" w:styleId="Encabezado">
    <w:name w:val="header"/>
    <w:basedOn w:val="Normal"/>
    <w:link w:val="EncabezadoCar"/>
    <w:unhideWhenUsed/>
    <w:rsid w:val="00A03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031E2"/>
  </w:style>
  <w:style w:type="paragraph" w:styleId="Piedepgina">
    <w:name w:val="footer"/>
    <w:basedOn w:val="Normal"/>
    <w:link w:val="PiedepginaCar"/>
    <w:uiPriority w:val="99"/>
    <w:unhideWhenUsed/>
    <w:rsid w:val="00A03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1E2"/>
  </w:style>
  <w:style w:type="paragraph" w:customStyle="1" w:styleId="Cuerpodetexto">
    <w:name w:val="Cuerpo de texto"/>
    <w:basedOn w:val="Normal"/>
    <w:link w:val="CuerpodetextoCar"/>
    <w:rsid w:val="00A031E2"/>
    <w:pPr>
      <w:spacing w:before="40" w:after="40" w:line="240" w:lineRule="auto"/>
      <w:jc w:val="both"/>
    </w:pPr>
    <w:rPr>
      <w:rFonts w:ascii="Arial" w:eastAsia="MS Mincho" w:hAnsi="Arial" w:cs="Times New Roman"/>
      <w:sz w:val="20"/>
      <w:szCs w:val="24"/>
      <w:lang w:val="es-ES" w:eastAsia="ja-JP"/>
    </w:rPr>
  </w:style>
  <w:style w:type="character" w:customStyle="1" w:styleId="CuerpodetextoCar">
    <w:name w:val="Cuerpo de texto Car"/>
    <w:link w:val="Cuerpodetexto"/>
    <w:rsid w:val="00A031E2"/>
    <w:rPr>
      <w:rFonts w:ascii="Arial" w:eastAsia="MS Mincho" w:hAnsi="Arial" w:cs="Times New Roman"/>
      <w:sz w:val="20"/>
      <w:szCs w:val="24"/>
      <w:lang w:val="es-E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7759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59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59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59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59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991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01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012CD"/>
    <w:rPr>
      <w:rFonts w:ascii="Calibri" w:eastAsiaTheme="majorEastAsia" w:hAnsi="Calibri" w:cstheme="majorBidi"/>
      <w:b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DGTIC</dc:creator>
  <cp:keywords/>
  <dc:description/>
  <cp:lastModifiedBy>UNAM</cp:lastModifiedBy>
  <cp:revision>15</cp:revision>
  <dcterms:created xsi:type="dcterms:W3CDTF">2018-09-10T18:26:00Z</dcterms:created>
  <dcterms:modified xsi:type="dcterms:W3CDTF">2019-08-28T22:47:00Z</dcterms:modified>
</cp:coreProperties>
</file>